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02" w:rsidRPr="00FC77E3" w:rsidRDefault="002D2D1B" w:rsidP="00177302">
      <w:pPr>
        <w:ind w:left="-54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Расчетные способы </w:t>
      </w:r>
      <w:r w:rsidR="00177302" w:rsidRPr="00FC77E3">
        <w:rPr>
          <w:b/>
          <w:sz w:val="26"/>
          <w:szCs w:val="26"/>
        </w:rPr>
        <w:t>определения объема потребления электрической энергии</w:t>
      </w:r>
    </w:p>
    <w:p w:rsidR="00721BB9" w:rsidRPr="0096270C" w:rsidRDefault="00177302" w:rsidP="00721BB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FC77E3">
        <w:rPr>
          <w:b/>
          <w:sz w:val="26"/>
          <w:szCs w:val="26"/>
        </w:rPr>
        <w:t xml:space="preserve"> в случа</w:t>
      </w:r>
      <w:r w:rsidR="00721BB9" w:rsidRPr="00FC77E3">
        <w:rPr>
          <w:b/>
          <w:sz w:val="26"/>
          <w:szCs w:val="26"/>
        </w:rPr>
        <w:t>ях</w:t>
      </w:r>
      <w:r w:rsidRPr="00FC77E3">
        <w:rPr>
          <w:b/>
          <w:sz w:val="26"/>
          <w:szCs w:val="26"/>
        </w:rPr>
        <w:t xml:space="preserve"> </w:t>
      </w:r>
      <w:r w:rsidR="0096270C" w:rsidRPr="0096270C">
        <w:rPr>
          <w:b/>
          <w:bCs/>
          <w:sz w:val="26"/>
          <w:szCs w:val="26"/>
        </w:rPr>
        <w:t xml:space="preserve">неисправности, утраты или истечения интервала между поверками прибора учета, истечения срока эксплуатации прибора учета, непредставления показаний расчетного прибора учета в установленные сроки и отсутствия контрольного прибора учета, двукратного </w:t>
      </w:r>
      <w:proofErr w:type="spellStart"/>
      <w:r w:rsidR="0096270C" w:rsidRPr="0096270C">
        <w:rPr>
          <w:b/>
          <w:bCs/>
          <w:sz w:val="26"/>
          <w:szCs w:val="26"/>
        </w:rPr>
        <w:t>недопуска</w:t>
      </w:r>
      <w:proofErr w:type="spellEnd"/>
      <w:r w:rsidR="0096270C" w:rsidRPr="0096270C">
        <w:rPr>
          <w:b/>
          <w:bCs/>
          <w:sz w:val="26"/>
          <w:szCs w:val="26"/>
        </w:rPr>
        <w:t xml:space="preserve"> к местам установки приборов учета для целей проведения контрольного снятия показаний и проведения проверки его состояния.</w:t>
      </w:r>
    </w:p>
    <w:p w:rsidR="002D2D1B" w:rsidRPr="002D2D1B" w:rsidRDefault="008C30E9" w:rsidP="008C30E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2D2D1B" w:rsidRPr="002D2D1B">
        <w:rPr>
          <w:sz w:val="26"/>
          <w:szCs w:val="26"/>
        </w:rPr>
        <w:t>асчетны</w:t>
      </w:r>
      <w:r>
        <w:rPr>
          <w:sz w:val="26"/>
          <w:szCs w:val="26"/>
        </w:rPr>
        <w:t>е</w:t>
      </w:r>
      <w:r w:rsidR="002D2D1B" w:rsidRPr="002D2D1B">
        <w:rPr>
          <w:sz w:val="26"/>
          <w:szCs w:val="26"/>
        </w:rPr>
        <w:t xml:space="preserve"> способ</w:t>
      </w:r>
      <w:r>
        <w:rPr>
          <w:sz w:val="26"/>
          <w:szCs w:val="26"/>
        </w:rPr>
        <w:t>ы</w:t>
      </w:r>
      <w:r w:rsidR="002D2D1B" w:rsidRPr="002D2D1B">
        <w:rPr>
          <w:sz w:val="26"/>
          <w:szCs w:val="26"/>
        </w:rPr>
        <w:t xml:space="preserve"> определяются замещающей информацией или иными расчетными способами, предусмотренных </w:t>
      </w:r>
      <w:r w:rsidR="002D2D1B" w:rsidRPr="002D2D1B">
        <w:rPr>
          <w:rStyle w:val="ac"/>
          <w:sz w:val="26"/>
          <w:szCs w:val="26"/>
        </w:rPr>
        <w:t>Основными положениями</w:t>
      </w:r>
      <w:r w:rsidRPr="008C30E9">
        <w:rPr>
          <w:rStyle w:val="ac"/>
          <w:sz w:val="26"/>
          <w:szCs w:val="26"/>
        </w:rPr>
        <w:t xml:space="preserve"> </w:t>
      </w:r>
      <w:r w:rsidRPr="002D2D1B">
        <w:rPr>
          <w:rStyle w:val="ac"/>
          <w:sz w:val="26"/>
          <w:szCs w:val="26"/>
        </w:rPr>
        <w:t>функционирования розничных рынков электрической энергии</w:t>
      </w:r>
      <w:r w:rsidRPr="002D2D1B">
        <w:rPr>
          <w:sz w:val="26"/>
          <w:szCs w:val="26"/>
        </w:rPr>
        <w:t>, утвержденных постановлением Правительства РФ от 4 мая 2012 года № 442</w:t>
      </w:r>
      <w:r w:rsidR="00AC402F">
        <w:rPr>
          <w:sz w:val="26"/>
          <w:szCs w:val="26"/>
        </w:rPr>
        <w:t xml:space="preserve"> </w:t>
      </w:r>
      <w:r w:rsidR="00AC402F" w:rsidRPr="00AC402F">
        <w:rPr>
          <w:color w:val="FF0000"/>
          <w:sz w:val="26"/>
          <w:szCs w:val="26"/>
        </w:rPr>
        <w:t>(далее – Основные положения)</w:t>
      </w:r>
      <w:r w:rsidR="002D2D1B" w:rsidRPr="00AC402F">
        <w:rPr>
          <w:color w:val="FF0000"/>
          <w:sz w:val="26"/>
          <w:szCs w:val="26"/>
        </w:rPr>
        <w:t>.</w:t>
      </w:r>
    </w:p>
    <w:p w:rsidR="002D2D1B" w:rsidRPr="00AC402F" w:rsidRDefault="002D2D1B" w:rsidP="001F66AC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2D1B">
        <w:rPr>
          <w:rStyle w:val="a8"/>
          <w:sz w:val="26"/>
          <w:szCs w:val="26"/>
        </w:rPr>
        <w:t> Замещающей информацией</w:t>
      </w:r>
      <w:r>
        <w:rPr>
          <w:rStyle w:val="a8"/>
          <w:sz w:val="26"/>
          <w:szCs w:val="26"/>
        </w:rPr>
        <w:t xml:space="preserve"> </w:t>
      </w:r>
      <w:proofErr w:type="spellStart"/>
      <w:r w:rsidRPr="002D2D1B">
        <w:rPr>
          <w:b/>
        </w:rPr>
        <w:t>W</w:t>
      </w:r>
      <w:r w:rsidRPr="002D2D1B">
        <w:rPr>
          <w:b/>
          <w:sz w:val="15"/>
          <w:szCs w:val="15"/>
        </w:rPr>
        <w:t>замещ</w:t>
      </w:r>
      <w:proofErr w:type="spellEnd"/>
      <w:r w:rsidRPr="002D2D1B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2D2D1B">
        <w:rPr>
          <w:sz w:val="26"/>
          <w:szCs w:val="26"/>
        </w:rPr>
        <w:t xml:space="preserve">являются показания расчетного прибора учета за аналогичный расчетный период предыдущего года, а при отсутствии данных за аналогичный расчетный период предыдущего года - показания расчетного прибора учета за </w:t>
      </w:r>
      <w:r w:rsidRPr="00AC402F">
        <w:rPr>
          <w:sz w:val="26"/>
          <w:szCs w:val="26"/>
        </w:rPr>
        <w:t>ближайший расчетный период, когда такие показания имелись.</w:t>
      </w:r>
    </w:p>
    <w:p w:rsidR="00AC402F" w:rsidRPr="00AC402F" w:rsidRDefault="00AC402F" w:rsidP="00AC402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AC402F">
        <w:rPr>
          <w:rFonts w:eastAsiaTheme="minorHAnsi"/>
          <w:color w:val="FF0000"/>
          <w:sz w:val="26"/>
          <w:szCs w:val="26"/>
          <w:lang w:eastAsia="en-US"/>
        </w:rPr>
        <w:t xml:space="preserve">Под показаниями прибора учета понимаются все показания и результаты измерений прибора учета электрической энергии, которые используются в соответствии с </w:t>
      </w:r>
      <w:r w:rsidRPr="00AC402F">
        <w:rPr>
          <w:rFonts w:eastAsiaTheme="minorHAnsi"/>
          <w:color w:val="FF0000"/>
          <w:sz w:val="26"/>
          <w:szCs w:val="26"/>
          <w:lang w:eastAsia="en-US"/>
        </w:rPr>
        <w:t>Основными положениями</w:t>
      </w:r>
      <w:r w:rsidRPr="00AC402F">
        <w:rPr>
          <w:rFonts w:eastAsiaTheme="minorHAnsi"/>
          <w:color w:val="FF0000"/>
          <w:sz w:val="26"/>
          <w:szCs w:val="26"/>
          <w:lang w:eastAsia="en-US"/>
        </w:rPr>
        <w:t xml:space="preserve"> для целей взаиморасчетов за поставленные электрическую энергию и мощность, а также за связанные с указанными поставками услуги.</w:t>
      </w:r>
    </w:p>
    <w:p w:rsidR="00AC402F" w:rsidRPr="002D2D1B" w:rsidRDefault="00AC402F" w:rsidP="001F66AC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2D2D1B" w:rsidRPr="002D2D1B" w:rsidRDefault="002D2D1B" w:rsidP="001F66AC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2D1B">
        <w:rPr>
          <w:sz w:val="26"/>
          <w:szCs w:val="26"/>
        </w:rPr>
        <w:t>Расчетные способы определения объемов потребления электрической энергии (мощности) применяются в случаях: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043"/>
        <w:gridCol w:w="3328"/>
      </w:tblGrid>
      <w:tr w:rsidR="002D2D1B" w:rsidTr="001F66AC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/>
        </w:tc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Основание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Алгоритм</w:t>
            </w:r>
          </w:p>
        </w:tc>
      </w:tr>
      <w:tr w:rsidR="002D2D1B" w:rsidTr="001F66AC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1</w:t>
            </w:r>
          </w:p>
        </w:tc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734650">
            <w:pPr>
              <w:pStyle w:val="aa"/>
              <w:jc w:val="center"/>
            </w:pPr>
            <w:hyperlink r:id="rId5" w:history="1">
              <w:r w:rsidR="002D2D1B">
                <w:rPr>
                  <w:rStyle w:val="ab"/>
                </w:rPr>
                <w:t>Истечение интервала между поверками прибора учета</w:t>
              </w:r>
            </w:hyperlink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До 31.12.2023 – по показаниям прибора учета, но перерасчет при выявлении несоответствия метрологическим требованиям исходя из</w:t>
            </w:r>
          </w:p>
          <w:p w:rsidR="002D2D1B" w:rsidRDefault="002D2D1B">
            <w:pPr>
              <w:pStyle w:val="aa"/>
              <w:jc w:val="center"/>
            </w:pPr>
            <w:proofErr w:type="spellStart"/>
            <w:r>
              <w:t>W</w:t>
            </w:r>
            <w:r>
              <w:rPr>
                <w:sz w:val="15"/>
                <w:szCs w:val="15"/>
              </w:rPr>
              <w:t>замещ</w:t>
            </w:r>
            <w:proofErr w:type="spellEnd"/>
          </w:p>
        </w:tc>
      </w:tr>
      <w:tr w:rsidR="002D2D1B" w:rsidTr="001F66AC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2</w:t>
            </w:r>
          </w:p>
        </w:tc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734650">
            <w:pPr>
              <w:pStyle w:val="aa"/>
              <w:jc w:val="center"/>
            </w:pPr>
            <w:hyperlink r:id="rId6" w:history="1">
              <w:r w:rsidR="002D2D1B">
                <w:rPr>
                  <w:rStyle w:val="ab"/>
                </w:rPr>
                <w:t xml:space="preserve">Двукратный </w:t>
              </w:r>
              <w:proofErr w:type="spellStart"/>
              <w:r w:rsidR="002D2D1B">
                <w:rPr>
                  <w:rStyle w:val="ab"/>
                </w:rPr>
                <w:t>недопуск</w:t>
              </w:r>
              <w:proofErr w:type="spellEnd"/>
              <w:r w:rsidR="002D2D1B">
                <w:rPr>
                  <w:rStyle w:val="ab"/>
                </w:rPr>
                <w:t xml:space="preserve"> к местам установки прибора учета, к прибору учета для целей проведения контрольного снятия показаний и проведения проверки прибора учета</w:t>
              </w:r>
            </w:hyperlink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 </w:t>
            </w:r>
          </w:p>
          <w:p w:rsidR="002D2D1B" w:rsidRDefault="002D2D1B">
            <w:pPr>
              <w:pStyle w:val="aa"/>
              <w:jc w:val="center"/>
            </w:pPr>
            <w:r>
              <w:t xml:space="preserve">1,5 * </w:t>
            </w:r>
            <w:proofErr w:type="spellStart"/>
            <w:r>
              <w:t>W</w:t>
            </w:r>
            <w:r>
              <w:rPr>
                <w:vertAlign w:val="subscript"/>
              </w:rPr>
              <w:t>замещ</w:t>
            </w:r>
            <w:proofErr w:type="spellEnd"/>
          </w:p>
        </w:tc>
      </w:tr>
      <w:tr w:rsidR="002D2D1B" w:rsidTr="001F66AC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3</w:t>
            </w:r>
          </w:p>
        </w:tc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734650">
            <w:pPr>
              <w:pStyle w:val="aa"/>
              <w:jc w:val="center"/>
            </w:pPr>
            <w:hyperlink r:id="rId7" w:history="1">
              <w:r w:rsidR="002D2D1B">
                <w:rPr>
                  <w:rStyle w:val="ab"/>
                </w:rPr>
                <w:t>Отсутствие, неисправность, утрата, истечение срока эксплуатации, демонтаж прибора учета, непредставление показаний расчетного прибора учета</w:t>
              </w:r>
            </w:hyperlink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proofErr w:type="spellStart"/>
            <w:r>
              <w:t>W</w:t>
            </w:r>
            <w:r>
              <w:rPr>
                <w:vertAlign w:val="subscript"/>
              </w:rPr>
              <w:t>замещ</w:t>
            </w:r>
            <w:proofErr w:type="spellEnd"/>
          </w:p>
        </w:tc>
      </w:tr>
      <w:tr w:rsidR="002D2D1B" w:rsidTr="001F66AC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4</w:t>
            </w:r>
          </w:p>
        </w:tc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734650">
            <w:pPr>
              <w:pStyle w:val="aa"/>
              <w:jc w:val="center"/>
            </w:pPr>
            <w:hyperlink r:id="rId8" w:history="1">
              <w:r w:rsidR="002D2D1B">
                <w:rPr>
                  <w:rStyle w:val="ab"/>
                </w:rPr>
                <w:t xml:space="preserve">Истечение интервала между поверками измерительного </w:t>
              </w:r>
              <w:proofErr w:type="spellStart"/>
              <w:r w:rsidR="002D2D1B">
                <w:rPr>
                  <w:rStyle w:val="ab"/>
                </w:rPr>
                <w:t>трасформатора</w:t>
              </w:r>
              <w:proofErr w:type="spellEnd"/>
              <w:r w:rsidR="002D2D1B">
                <w:rPr>
                  <w:rStyle w:val="ab"/>
                </w:rPr>
                <w:t>, если замену осуществляет не сетевая организация или ГП</w:t>
              </w:r>
            </w:hyperlink>
          </w:p>
          <w:p w:rsidR="002D2D1B" w:rsidRDefault="002D2D1B">
            <w:pPr>
              <w:pStyle w:val="aa"/>
              <w:jc w:val="center"/>
            </w:pPr>
            <w:r>
              <w:t>(на подстанциях с уровнем высшего напряжения 20 </w:t>
            </w:r>
            <w:proofErr w:type="spellStart"/>
            <w:r>
              <w:t>кВ</w:t>
            </w:r>
            <w:proofErr w:type="spellEnd"/>
            <w:r>
              <w:t xml:space="preserve"> и выше)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1-й расчетный период:</w:t>
            </w:r>
          </w:p>
          <w:p w:rsidR="002D2D1B" w:rsidRDefault="002D2D1B">
            <w:pPr>
              <w:pStyle w:val="aa"/>
              <w:jc w:val="center"/>
            </w:pPr>
            <w:r>
              <w:t> </w:t>
            </w:r>
            <w:proofErr w:type="spellStart"/>
            <w:r>
              <w:t>W</w:t>
            </w:r>
            <w:r>
              <w:rPr>
                <w:vertAlign w:val="subscript"/>
              </w:rPr>
              <w:t>замещ</w:t>
            </w:r>
            <w:proofErr w:type="spellEnd"/>
          </w:p>
          <w:p w:rsidR="002D2D1B" w:rsidRDefault="002D2D1B">
            <w:pPr>
              <w:pStyle w:val="aa"/>
              <w:jc w:val="center"/>
            </w:pPr>
            <w:r>
              <w:t>со 2-го расчетного периода:</w:t>
            </w:r>
          </w:p>
          <w:p w:rsidR="002D2D1B" w:rsidRDefault="002D2D1B">
            <w:pPr>
              <w:pStyle w:val="aa"/>
              <w:jc w:val="center"/>
            </w:pPr>
            <w:r>
              <w:t> 1,5 * </w:t>
            </w:r>
            <w:proofErr w:type="spellStart"/>
            <w:r>
              <w:t>W</w:t>
            </w:r>
            <w:r>
              <w:rPr>
                <w:vertAlign w:val="subscript"/>
              </w:rPr>
              <w:t>замещ</w:t>
            </w:r>
            <w:proofErr w:type="spellEnd"/>
          </w:p>
        </w:tc>
      </w:tr>
      <w:tr w:rsidR="002D2D1B" w:rsidTr="001F66AC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5</w:t>
            </w:r>
          </w:p>
        </w:tc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734650">
            <w:pPr>
              <w:pStyle w:val="aa"/>
              <w:jc w:val="center"/>
            </w:pPr>
            <w:hyperlink r:id="rId9" w:history="1">
              <w:r w:rsidR="002D2D1B">
                <w:rPr>
                  <w:rStyle w:val="ab"/>
                </w:rPr>
                <w:t xml:space="preserve">В отсутствие приборов учета у потребителей, максимальная мощность </w:t>
              </w:r>
              <w:proofErr w:type="spellStart"/>
              <w:r w:rsidR="002D2D1B">
                <w:rPr>
                  <w:rStyle w:val="ab"/>
                </w:rPr>
                <w:t>энергопринимающих</w:t>
              </w:r>
              <w:proofErr w:type="spellEnd"/>
              <w:r w:rsidR="002D2D1B">
                <w:rPr>
                  <w:rStyle w:val="ab"/>
                </w:rPr>
                <w:t xml:space="preserve"> устройств которых в соответствии с документами о технологическом присоединении менее 5 кВт</w:t>
              </w:r>
            </w:hyperlink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jc w:val="center"/>
            </w:pPr>
            <w:r>
              <w:t> </w:t>
            </w:r>
            <w:proofErr w:type="spellStart"/>
            <w:r>
              <w:t>P</w:t>
            </w:r>
            <w:r>
              <w:rPr>
                <w:vertAlign w:val="subscript"/>
              </w:rPr>
              <w:t>max</w:t>
            </w:r>
            <w:proofErr w:type="spellEnd"/>
            <w:r>
              <w:rPr>
                <w:vertAlign w:val="subscript"/>
              </w:rPr>
              <w:t> </w:t>
            </w:r>
            <w:r>
              <w:t xml:space="preserve">* </w:t>
            </w:r>
            <w:proofErr w:type="spellStart"/>
            <w:r>
              <w:t>T</w:t>
            </w:r>
            <w:r>
              <w:rPr>
                <w:vertAlign w:val="subscript"/>
              </w:rPr>
              <w:t>стандарт</w:t>
            </w:r>
            <w:proofErr w:type="spellEnd"/>
          </w:p>
        </w:tc>
      </w:tr>
      <w:tr w:rsidR="002D2D1B" w:rsidTr="001F66AC">
        <w:trPr>
          <w:tblCellSpacing w:w="0" w:type="dxa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1F66AC">
            <w:pPr>
              <w:pStyle w:val="aa"/>
              <w:jc w:val="center"/>
            </w:pPr>
            <w:r>
              <w:t>6</w:t>
            </w:r>
          </w:p>
        </w:tc>
        <w:tc>
          <w:tcPr>
            <w:tcW w:w="6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734650">
            <w:pPr>
              <w:pStyle w:val="aa"/>
              <w:jc w:val="center"/>
            </w:pPr>
            <w:hyperlink r:id="rId10" w:history="1">
              <w:r w:rsidR="002D2D1B">
                <w:rPr>
                  <w:rStyle w:val="ab"/>
                </w:rPr>
                <w:t xml:space="preserve">Заключение о непригодности прибора учета без установления факта </w:t>
              </w:r>
              <w:proofErr w:type="spellStart"/>
              <w:r w:rsidR="002D2D1B">
                <w:rPr>
                  <w:rStyle w:val="ab"/>
                </w:rPr>
                <w:t>безучетного</w:t>
              </w:r>
              <w:proofErr w:type="spellEnd"/>
              <w:r w:rsidR="002D2D1B">
                <w:rPr>
                  <w:rStyle w:val="ab"/>
                </w:rPr>
                <w:t xml:space="preserve"> потребления электрической энергии</w:t>
              </w:r>
            </w:hyperlink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D1B" w:rsidRDefault="002D2D1B">
            <w:pPr>
              <w:pStyle w:val="aa"/>
              <w:jc w:val="center"/>
            </w:pPr>
            <w:r>
              <w:t>Перерасчет по </w:t>
            </w:r>
          </w:p>
          <w:p w:rsidR="002D2D1B" w:rsidRDefault="002D2D1B">
            <w:pPr>
              <w:pStyle w:val="aa"/>
              <w:jc w:val="center"/>
            </w:pPr>
            <w:proofErr w:type="spellStart"/>
            <w:r>
              <w:t>W</w:t>
            </w:r>
            <w:r>
              <w:rPr>
                <w:vertAlign w:val="subscript"/>
              </w:rPr>
              <w:t>замещ</w:t>
            </w:r>
            <w:proofErr w:type="spellEnd"/>
          </w:p>
        </w:tc>
      </w:tr>
    </w:tbl>
    <w:p w:rsidR="00087F56" w:rsidRPr="00FC77E3" w:rsidRDefault="00087F56" w:rsidP="00087F56">
      <w:pPr>
        <w:ind w:firstLine="567"/>
        <w:jc w:val="both"/>
        <w:rPr>
          <w:sz w:val="25"/>
          <w:szCs w:val="25"/>
        </w:rPr>
      </w:pPr>
    </w:p>
    <w:sectPr w:rsidR="00087F56" w:rsidRPr="00FC77E3" w:rsidSect="008C30E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04F"/>
    <w:multiLevelType w:val="hybridMultilevel"/>
    <w:tmpl w:val="176C03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A219AF"/>
    <w:multiLevelType w:val="hybridMultilevel"/>
    <w:tmpl w:val="FB3AA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AF13C3"/>
    <w:multiLevelType w:val="multilevel"/>
    <w:tmpl w:val="03F89C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7380DE6"/>
    <w:multiLevelType w:val="hybridMultilevel"/>
    <w:tmpl w:val="DEDA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05F8A"/>
    <w:multiLevelType w:val="multilevel"/>
    <w:tmpl w:val="0868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77"/>
    <w:rsid w:val="00087F56"/>
    <w:rsid w:val="000F3FB9"/>
    <w:rsid w:val="00177302"/>
    <w:rsid w:val="001D11AE"/>
    <w:rsid w:val="001F66AC"/>
    <w:rsid w:val="002D2D1B"/>
    <w:rsid w:val="003D0EBA"/>
    <w:rsid w:val="005041A3"/>
    <w:rsid w:val="005163DB"/>
    <w:rsid w:val="00630E52"/>
    <w:rsid w:val="00661FB0"/>
    <w:rsid w:val="006C5227"/>
    <w:rsid w:val="00721BB9"/>
    <w:rsid w:val="008C30E9"/>
    <w:rsid w:val="0096270C"/>
    <w:rsid w:val="009710DB"/>
    <w:rsid w:val="009D268A"/>
    <w:rsid w:val="00A219AC"/>
    <w:rsid w:val="00AC402F"/>
    <w:rsid w:val="00B240D6"/>
    <w:rsid w:val="00BE08C8"/>
    <w:rsid w:val="00E51FA7"/>
    <w:rsid w:val="00EF77B0"/>
    <w:rsid w:val="00F51030"/>
    <w:rsid w:val="00FC77E3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E7E1"/>
  <w15:docId w15:val="{C7A08412-83B1-48A1-8C35-3E269478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02"/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0E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630E52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30E52"/>
    <w:rPr>
      <w:rFonts w:ascii="Calibri" w:eastAsia="Times New Roman" w:hAnsi="Calibri" w:cs="Times New Roman"/>
      <w:sz w:val="22"/>
      <w:szCs w:val="22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87F5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87F56"/>
    <w:rPr>
      <w:rFonts w:eastAsia="Times New Roman" w:cs="Times New Roman"/>
      <w:lang w:eastAsia="ru-RU"/>
    </w:rPr>
  </w:style>
  <w:style w:type="character" w:styleId="a8">
    <w:name w:val="Strong"/>
    <w:uiPriority w:val="22"/>
    <w:qFormat/>
    <w:rsid w:val="00087F56"/>
    <w:rPr>
      <w:b/>
      <w:bCs/>
    </w:rPr>
  </w:style>
  <w:style w:type="paragraph" w:styleId="21">
    <w:name w:val="List 2"/>
    <w:basedOn w:val="a"/>
    <w:rsid w:val="00087F56"/>
    <w:pPr>
      <w:widowControl w:val="0"/>
      <w:ind w:left="566" w:hanging="283"/>
    </w:pPr>
    <w:rPr>
      <w:sz w:val="20"/>
      <w:szCs w:val="20"/>
    </w:rPr>
  </w:style>
  <w:style w:type="paragraph" w:styleId="a9">
    <w:name w:val="No Spacing"/>
    <w:uiPriority w:val="1"/>
    <w:qFormat/>
    <w:rsid w:val="00087F56"/>
    <w:rPr>
      <w:rFonts w:eastAsia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2D2D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2D2D1B"/>
    <w:rPr>
      <w:color w:val="0000FF"/>
      <w:u w:val="single"/>
    </w:rPr>
  </w:style>
  <w:style w:type="character" w:styleId="ac">
    <w:name w:val="Emphasis"/>
    <w:basedOn w:val="a0"/>
    <w:uiPriority w:val="20"/>
    <w:qFormat/>
    <w:rsid w:val="002D2D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zesc.ru/assets/USERS/Realiz/rasch_sposibi/istechenie%20sroka%20poverki%20transformator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zesc.ru/assets/USERS/Realiz/rasch_sposibi/neispravnost_utratademontag_PU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zesc.ru/assets/USERS/Realiz/rasch_sposibi/dvukratnii%20nedopusk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uzesc.ru/assets/USERS/Realiz/rasch_sposibi/istech%20mezpoveroch%20intervala.docx" TargetMode="External"/><Relationship Id="rId10" Type="http://schemas.openxmlformats.org/officeDocument/2006/relationships/hyperlink" Target="https://kuzesc.ru/assets/USERS/Realiz/rasch_sposibi/zakluchenie%20o%20neprigodnosti%20PU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zesc.ru/assets/USERS/Realiz/rasch_sposibi/otsut%20PU_potrebiteli%20menee%205%20kV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Коврига Наталья Васильевна</cp:lastModifiedBy>
  <cp:revision>6</cp:revision>
  <dcterms:created xsi:type="dcterms:W3CDTF">2022-02-07T08:48:00Z</dcterms:created>
  <dcterms:modified xsi:type="dcterms:W3CDTF">2022-02-07T09:15:00Z</dcterms:modified>
</cp:coreProperties>
</file>